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7371" w14:textId="7C2A20AE" w:rsidR="00AD646A" w:rsidRPr="001C7955" w:rsidRDefault="00AD646A" w:rsidP="00AD646A">
      <w:pPr>
        <w:pStyle w:val="Ttulo3"/>
        <w:rPr>
          <w:rFonts w:ascii="Geomanist" w:hAnsi="Geomanist" w:cs="Times New Roman"/>
          <w:color w:val="auto"/>
          <w:sz w:val="24"/>
          <w:szCs w:val="24"/>
        </w:rPr>
      </w:pPr>
      <w:r w:rsidRPr="001C7955">
        <w:rPr>
          <w:rFonts w:ascii="Geomanist" w:hAnsi="Geomanist" w:cs="Times New Roman"/>
          <w:color w:val="auto"/>
          <w:sz w:val="24"/>
          <w:szCs w:val="24"/>
        </w:rPr>
        <w:t>OFÍCIO Nº. 0          /202</w:t>
      </w:r>
      <w:r w:rsidR="001C7955" w:rsidRPr="001C7955">
        <w:rPr>
          <w:rFonts w:ascii="Geomanist" w:hAnsi="Geomanist" w:cs="Times New Roman"/>
          <w:color w:val="auto"/>
          <w:sz w:val="24"/>
          <w:szCs w:val="24"/>
        </w:rPr>
        <w:t>1</w:t>
      </w:r>
    </w:p>
    <w:p w14:paraId="774E895E" w14:textId="77777777" w:rsidR="00AD646A" w:rsidRPr="001C7955" w:rsidRDefault="00AD646A" w:rsidP="00AD646A">
      <w:pPr>
        <w:jc w:val="right"/>
        <w:rPr>
          <w:rFonts w:ascii="Geomanist" w:hAnsi="Geomanist"/>
          <w:sz w:val="22"/>
          <w:szCs w:val="22"/>
        </w:rPr>
      </w:pPr>
      <w:r w:rsidRPr="001C7955">
        <w:rPr>
          <w:rFonts w:ascii="Geomanist" w:hAnsi="Geomanist"/>
          <w:sz w:val="22"/>
          <w:szCs w:val="22"/>
        </w:rPr>
        <w:t xml:space="preserve">   </w:t>
      </w:r>
    </w:p>
    <w:p w14:paraId="1AF8DAC1" w14:textId="77777777" w:rsidR="00AD646A" w:rsidRPr="001C7955" w:rsidRDefault="00AD646A" w:rsidP="00AD646A">
      <w:pPr>
        <w:jc w:val="right"/>
        <w:rPr>
          <w:rFonts w:ascii="Geomanist" w:hAnsi="Geomanist"/>
          <w:sz w:val="16"/>
          <w:szCs w:val="16"/>
        </w:rPr>
      </w:pPr>
    </w:p>
    <w:p w14:paraId="57ECDE7A" w14:textId="6DE5912C" w:rsidR="00AD646A" w:rsidRPr="001C7955" w:rsidRDefault="00AD646A" w:rsidP="00AD646A">
      <w:pPr>
        <w:jc w:val="right"/>
        <w:rPr>
          <w:rFonts w:ascii="Geomanist" w:hAnsi="Geomanist"/>
          <w:sz w:val="24"/>
          <w:szCs w:val="24"/>
        </w:rPr>
      </w:pPr>
      <w:r w:rsidRPr="001C7955">
        <w:rPr>
          <w:rFonts w:ascii="Geomanist" w:hAnsi="Geomanist"/>
          <w:sz w:val="22"/>
          <w:szCs w:val="22"/>
        </w:rPr>
        <w:t xml:space="preserve">    </w:t>
      </w:r>
      <w:proofErr w:type="gramStart"/>
      <w:r w:rsidRPr="001C7955">
        <w:rPr>
          <w:rFonts w:ascii="Geomanist" w:hAnsi="Geomanist"/>
          <w:sz w:val="24"/>
          <w:szCs w:val="24"/>
        </w:rPr>
        <w:t xml:space="preserve">Manaus,   </w:t>
      </w:r>
      <w:proofErr w:type="gramEnd"/>
      <w:r w:rsidRPr="001C7955">
        <w:rPr>
          <w:rFonts w:ascii="Geomanist" w:hAnsi="Geomanist"/>
          <w:sz w:val="24"/>
          <w:szCs w:val="24"/>
        </w:rPr>
        <w:t xml:space="preserve">        de              </w:t>
      </w:r>
      <w:proofErr w:type="spellStart"/>
      <w:r w:rsidRPr="001C7955">
        <w:rPr>
          <w:rFonts w:ascii="Geomanist" w:hAnsi="Geomanist"/>
          <w:sz w:val="24"/>
          <w:szCs w:val="24"/>
        </w:rPr>
        <w:t>de</w:t>
      </w:r>
      <w:proofErr w:type="spellEnd"/>
      <w:r w:rsidRPr="001C7955">
        <w:rPr>
          <w:rFonts w:ascii="Geomanist" w:hAnsi="Geomanist"/>
          <w:sz w:val="24"/>
          <w:szCs w:val="24"/>
        </w:rPr>
        <w:t xml:space="preserve"> 202</w:t>
      </w:r>
      <w:r w:rsidR="001C7955" w:rsidRPr="001C7955">
        <w:rPr>
          <w:rFonts w:ascii="Geomanist" w:hAnsi="Geomanist"/>
          <w:sz w:val="24"/>
          <w:szCs w:val="24"/>
        </w:rPr>
        <w:t>1</w:t>
      </w:r>
      <w:r w:rsidR="00C35DA7">
        <w:rPr>
          <w:rFonts w:ascii="Geomanist" w:hAnsi="Geomanist"/>
          <w:sz w:val="24"/>
          <w:szCs w:val="24"/>
        </w:rPr>
        <w:t>.</w:t>
      </w:r>
    </w:p>
    <w:p w14:paraId="351FC949" w14:textId="77777777" w:rsidR="00AD646A" w:rsidRPr="001C7955" w:rsidRDefault="00AD646A" w:rsidP="00AD646A">
      <w:pPr>
        <w:ind w:firstLine="1418"/>
        <w:rPr>
          <w:rFonts w:ascii="Geomanist" w:hAnsi="Geomanist"/>
          <w:b/>
          <w:sz w:val="16"/>
          <w:szCs w:val="16"/>
        </w:rPr>
      </w:pPr>
    </w:p>
    <w:p w14:paraId="1F79BCA1" w14:textId="77777777" w:rsidR="00AD646A" w:rsidRPr="001C7955" w:rsidRDefault="00AD646A" w:rsidP="00AD646A">
      <w:pPr>
        <w:ind w:firstLine="1418"/>
        <w:rPr>
          <w:rFonts w:ascii="Geomanist" w:hAnsi="Geomanist"/>
          <w:b/>
          <w:sz w:val="24"/>
          <w:szCs w:val="24"/>
        </w:rPr>
      </w:pPr>
    </w:p>
    <w:p w14:paraId="1C462E6D" w14:textId="77777777" w:rsidR="00AD646A" w:rsidRPr="001C7955" w:rsidRDefault="00AD646A" w:rsidP="00AD646A">
      <w:pPr>
        <w:rPr>
          <w:rFonts w:ascii="Geomanist" w:hAnsi="Geomanist"/>
          <w:sz w:val="24"/>
          <w:szCs w:val="24"/>
        </w:rPr>
      </w:pPr>
      <w:r w:rsidRPr="001C7955">
        <w:rPr>
          <w:rFonts w:ascii="Geomanist" w:hAnsi="Geomanist"/>
          <w:sz w:val="24"/>
          <w:szCs w:val="24"/>
        </w:rPr>
        <w:t>Ao Senhor</w:t>
      </w:r>
    </w:p>
    <w:p w14:paraId="4B6FDF71" w14:textId="77777777" w:rsidR="00AD646A" w:rsidRPr="001C7955" w:rsidRDefault="00AD646A" w:rsidP="00AD646A">
      <w:pPr>
        <w:rPr>
          <w:rFonts w:ascii="Geomanist" w:eastAsiaTheme="minorHAnsi" w:hAnsi="Geomanist"/>
          <w:b/>
          <w:sz w:val="24"/>
          <w:szCs w:val="24"/>
          <w:lang w:eastAsia="en-US"/>
        </w:rPr>
      </w:pPr>
      <w:r w:rsidRPr="001C7955">
        <w:rPr>
          <w:rFonts w:ascii="Geomanist" w:eastAsiaTheme="minorHAnsi" w:hAnsi="Geomanist"/>
          <w:b/>
          <w:sz w:val="24"/>
          <w:szCs w:val="24"/>
          <w:lang w:eastAsia="en-US"/>
        </w:rPr>
        <w:t>CARLOS HENRIQUE DOS REIS LIMA</w:t>
      </w:r>
    </w:p>
    <w:p w14:paraId="1DDBD5B5" w14:textId="77777777" w:rsidR="00AD646A" w:rsidRPr="001C7955" w:rsidRDefault="00AD646A" w:rsidP="00AD646A">
      <w:pPr>
        <w:rPr>
          <w:rFonts w:ascii="Geomanist" w:eastAsiaTheme="minorHAnsi" w:hAnsi="Geomanist"/>
          <w:sz w:val="24"/>
          <w:szCs w:val="24"/>
          <w:lang w:eastAsia="en-US"/>
        </w:rPr>
      </w:pPr>
      <w:r w:rsidRPr="001C7955">
        <w:rPr>
          <w:rFonts w:ascii="Geomanist" w:eastAsiaTheme="minorHAnsi" w:hAnsi="Geomanist"/>
          <w:sz w:val="24"/>
          <w:szCs w:val="24"/>
          <w:lang w:eastAsia="en-US"/>
        </w:rPr>
        <w:t>Secretário de Estado de Infraestrutura - SEINFRA</w:t>
      </w:r>
    </w:p>
    <w:p w14:paraId="3FAE5E87" w14:textId="77777777" w:rsidR="001C7955" w:rsidRPr="001C7955" w:rsidRDefault="001C7955" w:rsidP="001C7955">
      <w:pPr>
        <w:rPr>
          <w:rFonts w:ascii="Geomanist" w:eastAsiaTheme="minorHAnsi" w:hAnsi="Geomanist"/>
          <w:sz w:val="24"/>
          <w:szCs w:val="24"/>
          <w:lang w:eastAsia="en-US"/>
        </w:rPr>
      </w:pPr>
      <w:r w:rsidRPr="001C7955">
        <w:rPr>
          <w:rFonts w:ascii="Geomanist" w:eastAsiaTheme="minorHAnsi" w:hAnsi="Geomanist"/>
          <w:sz w:val="24"/>
          <w:szCs w:val="24"/>
          <w:lang w:eastAsia="en-US"/>
        </w:rPr>
        <w:t>Av. Arquiteto José Henriques Bento Rodrigues, 3760 - Monte das Oliveiras - Shopping Via Norte, Piso L2, Manaus/AM</w:t>
      </w:r>
    </w:p>
    <w:p w14:paraId="0E132692" w14:textId="762C2DFF" w:rsidR="00AD646A" w:rsidRPr="001C7955" w:rsidRDefault="001C7955" w:rsidP="00AD646A">
      <w:pPr>
        <w:rPr>
          <w:rFonts w:ascii="Geomanist" w:eastAsiaTheme="minorHAnsi" w:hAnsi="Geomanist"/>
          <w:sz w:val="24"/>
          <w:szCs w:val="24"/>
          <w:lang w:eastAsia="en-US"/>
        </w:rPr>
      </w:pPr>
      <w:r w:rsidRPr="001C7955">
        <w:rPr>
          <w:rFonts w:ascii="Geomanist" w:eastAsiaTheme="minorHAnsi" w:hAnsi="Geomanist"/>
          <w:sz w:val="24"/>
          <w:szCs w:val="24"/>
          <w:lang w:eastAsia="en-US"/>
        </w:rPr>
        <w:t>CEP 69093-149</w:t>
      </w:r>
      <w:r w:rsidRPr="001C7955">
        <w:rPr>
          <w:rFonts w:ascii="Geomanist" w:eastAsiaTheme="minorHAnsi" w:hAnsi="Geomanist"/>
          <w:sz w:val="24"/>
          <w:szCs w:val="24"/>
          <w:lang w:eastAsia="en-US"/>
        </w:rPr>
        <w:t xml:space="preserve"> </w:t>
      </w:r>
      <w:r w:rsidR="00AD646A" w:rsidRPr="001C7955">
        <w:rPr>
          <w:rFonts w:ascii="Geomanist" w:eastAsiaTheme="minorHAnsi" w:hAnsi="Geomanist"/>
          <w:sz w:val="24"/>
          <w:szCs w:val="24"/>
          <w:lang w:eastAsia="en-US"/>
        </w:rPr>
        <w:t>- Manaus-Amazonas</w:t>
      </w:r>
    </w:p>
    <w:p w14:paraId="0FBB619E" w14:textId="77777777" w:rsidR="00AD646A" w:rsidRPr="001C7955" w:rsidRDefault="00AD646A" w:rsidP="00AD646A">
      <w:pPr>
        <w:rPr>
          <w:rFonts w:ascii="Geomanist" w:hAnsi="Geomanist"/>
          <w:sz w:val="24"/>
          <w:szCs w:val="24"/>
        </w:rPr>
      </w:pPr>
    </w:p>
    <w:p w14:paraId="229CB52E" w14:textId="77777777" w:rsidR="00AD646A" w:rsidRPr="001C7955" w:rsidRDefault="00AD646A" w:rsidP="00AD646A">
      <w:pPr>
        <w:rPr>
          <w:rFonts w:ascii="Geomanist" w:hAnsi="Geomanist"/>
          <w:sz w:val="24"/>
          <w:szCs w:val="24"/>
        </w:rPr>
      </w:pPr>
    </w:p>
    <w:p w14:paraId="70DF63D3" w14:textId="77777777" w:rsidR="00AD646A" w:rsidRPr="001C7955" w:rsidRDefault="00AD646A" w:rsidP="00AD646A">
      <w:pPr>
        <w:spacing w:after="120"/>
        <w:ind w:left="1077" w:hanging="1077"/>
        <w:rPr>
          <w:rFonts w:ascii="Geomanist" w:hAnsi="Geomanist"/>
          <w:b/>
          <w:sz w:val="24"/>
          <w:szCs w:val="24"/>
        </w:rPr>
      </w:pPr>
      <w:r w:rsidRPr="001C7955">
        <w:rPr>
          <w:rFonts w:ascii="Geomanist" w:hAnsi="Geomanist"/>
          <w:sz w:val="24"/>
          <w:szCs w:val="24"/>
        </w:rPr>
        <w:t xml:space="preserve">Assunto: </w:t>
      </w:r>
      <w:r w:rsidRPr="001C7955">
        <w:rPr>
          <w:rFonts w:ascii="Geomanist" w:hAnsi="Geomanist"/>
          <w:b/>
          <w:sz w:val="24"/>
          <w:szCs w:val="24"/>
        </w:rPr>
        <w:t>Solicitação de numeração de obra.</w:t>
      </w:r>
    </w:p>
    <w:p w14:paraId="450585BF" w14:textId="77777777" w:rsidR="00AD646A" w:rsidRPr="001C7955" w:rsidRDefault="00AD646A" w:rsidP="00AD646A">
      <w:pPr>
        <w:ind w:left="1080" w:hanging="1080"/>
        <w:rPr>
          <w:rFonts w:ascii="Geomanist" w:hAnsi="Geomanist"/>
          <w:b/>
          <w:sz w:val="24"/>
          <w:szCs w:val="24"/>
        </w:rPr>
      </w:pPr>
      <w:r w:rsidRPr="001C7955">
        <w:rPr>
          <w:rFonts w:ascii="Geomanist" w:hAnsi="Geomanist"/>
          <w:sz w:val="24"/>
          <w:szCs w:val="24"/>
        </w:rPr>
        <w:t xml:space="preserve">Ref.: </w:t>
      </w:r>
      <w:r w:rsidRPr="001C7955">
        <w:rPr>
          <w:rFonts w:ascii="Geomanist" w:hAnsi="Geomanist"/>
          <w:b/>
          <w:sz w:val="24"/>
          <w:szCs w:val="24"/>
        </w:rPr>
        <w:t>Novo layout das placas de identificação de obra.</w:t>
      </w:r>
    </w:p>
    <w:p w14:paraId="7FE8C008" w14:textId="77777777" w:rsidR="00AD646A" w:rsidRPr="001C7955" w:rsidRDefault="00AD646A" w:rsidP="00AD646A">
      <w:pPr>
        <w:spacing w:line="360" w:lineRule="auto"/>
        <w:rPr>
          <w:rFonts w:ascii="Geomanist" w:hAnsi="Geomanist"/>
          <w:sz w:val="16"/>
          <w:szCs w:val="16"/>
          <w:u w:val="single"/>
        </w:rPr>
      </w:pPr>
    </w:p>
    <w:p w14:paraId="1F1BF655" w14:textId="77777777" w:rsidR="00AD646A" w:rsidRPr="001C7955" w:rsidRDefault="00AD646A" w:rsidP="00E67183">
      <w:pPr>
        <w:spacing w:line="360" w:lineRule="auto"/>
        <w:jc w:val="both"/>
        <w:rPr>
          <w:rFonts w:ascii="Geomanist" w:hAnsi="Geomanist"/>
          <w:sz w:val="22"/>
          <w:szCs w:val="22"/>
          <w:u w:val="single"/>
        </w:rPr>
      </w:pPr>
    </w:p>
    <w:p w14:paraId="0EC5E570" w14:textId="77777777" w:rsidR="00AD646A" w:rsidRPr="001C7955" w:rsidRDefault="00AD646A" w:rsidP="00E67183">
      <w:pPr>
        <w:spacing w:line="360" w:lineRule="auto"/>
        <w:ind w:firstLine="1440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>Senhor Secretário,</w:t>
      </w:r>
    </w:p>
    <w:p w14:paraId="621927A5" w14:textId="77777777" w:rsidR="00AD646A" w:rsidRPr="001C7955" w:rsidRDefault="00AD646A" w:rsidP="00E67183">
      <w:pPr>
        <w:spacing w:line="360" w:lineRule="auto"/>
        <w:jc w:val="both"/>
        <w:rPr>
          <w:rFonts w:ascii="Geomanist" w:hAnsi="Geomanist"/>
          <w:sz w:val="24"/>
          <w:szCs w:val="22"/>
        </w:rPr>
      </w:pPr>
    </w:p>
    <w:p w14:paraId="7A12D9D4" w14:textId="77777777" w:rsidR="00AD646A" w:rsidRPr="001C7955" w:rsidRDefault="00AD646A" w:rsidP="00E67183">
      <w:pPr>
        <w:spacing w:line="360" w:lineRule="auto"/>
        <w:ind w:firstLine="1440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 xml:space="preserve">Em face da implementação de novo layout para as placas de identificação de obra do Governo do Estado do Amazonas, nas quais deverão constar numeração para controle e classificação, solicitamos a Vossa Excelência que sejam fornecidos os números para as obras contratadas por este órgão, </w:t>
      </w:r>
      <w:r w:rsidRPr="001C7955">
        <w:rPr>
          <w:rFonts w:ascii="Geomanist" w:hAnsi="Geomanist"/>
          <w:b/>
          <w:bCs/>
          <w:sz w:val="24"/>
          <w:szCs w:val="22"/>
        </w:rPr>
        <w:t>listadas na relação anexa</w:t>
      </w:r>
      <w:r w:rsidRPr="001C7955">
        <w:rPr>
          <w:rFonts w:ascii="Geomanist" w:hAnsi="Geomanist"/>
          <w:sz w:val="24"/>
          <w:szCs w:val="22"/>
        </w:rPr>
        <w:t xml:space="preserve">. </w:t>
      </w:r>
    </w:p>
    <w:p w14:paraId="403B81A4" w14:textId="5F76AC00" w:rsidR="00AD646A" w:rsidRDefault="00AD646A" w:rsidP="00E67183">
      <w:pPr>
        <w:spacing w:line="360" w:lineRule="auto"/>
        <w:ind w:firstLine="1440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 xml:space="preserve">Conforme orientação dessa Secretaria de Infraestrutura, a estrutura das placas seguirá as recomendações relacionadas abaixo: </w:t>
      </w:r>
    </w:p>
    <w:p w14:paraId="66B16F76" w14:textId="77777777" w:rsidR="001C7955" w:rsidRPr="001C7955" w:rsidRDefault="001C7955" w:rsidP="00E67183">
      <w:pPr>
        <w:spacing w:line="360" w:lineRule="auto"/>
        <w:ind w:firstLine="1440"/>
        <w:jc w:val="both"/>
        <w:rPr>
          <w:rFonts w:ascii="Geomanist" w:hAnsi="Geomanist"/>
          <w:sz w:val="24"/>
          <w:szCs w:val="22"/>
        </w:rPr>
      </w:pPr>
    </w:p>
    <w:p w14:paraId="45E95282" w14:textId="445EAE01" w:rsidR="00AD646A" w:rsidRPr="001C7955" w:rsidRDefault="00AD646A" w:rsidP="00E6718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b/>
          <w:bCs/>
          <w:sz w:val="24"/>
          <w:szCs w:val="22"/>
        </w:rPr>
        <w:t>Referente a estrutura da placa:</w:t>
      </w:r>
    </w:p>
    <w:p w14:paraId="230F2E94" w14:textId="77777777" w:rsidR="00AD646A" w:rsidRPr="001C7955" w:rsidRDefault="00AD646A" w:rsidP="00E67183">
      <w:pPr>
        <w:numPr>
          <w:ilvl w:val="0"/>
          <w:numId w:val="1"/>
        </w:numPr>
        <w:spacing w:line="360" w:lineRule="auto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>A lona da placa deverá estar alinhada, esticada e em bom estado de conservação.</w:t>
      </w:r>
    </w:p>
    <w:p w14:paraId="187AA614" w14:textId="77777777" w:rsidR="00AD646A" w:rsidRPr="001C7955" w:rsidRDefault="00AD646A" w:rsidP="00E67183">
      <w:pPr>
        <w:numPr>
          <w:ilvl w:val="0"/>
          <w:numId w:val="1"/>
        </w:numPr>
        <w:spacing w:line="360" w:lineRule="auto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 xml:space="preserve">A estrutura de metal deverá ser perfeita, de acordo ou de modo similar ao padrão especificado (verificar projeto na SEINFRA). </w:t>
      </w:r>
    </w:p>
    <w:p w14:paraId="34421D97" w14:textId="45B6A240" w:rsidR="00AD646A" w:rsidRDefault="00AD646A" w:rsidP="001C7955">
      <w:pPr>
        <w:numPr>
          <w:ilvl w:val="0"/>
          <w:numId w:val="1"/>
        </w:numPr>
        <w:spacing w:line="360" w:lineRule="auto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>Precisam estar firmes e em bom estado de conservação – evitando o balanço ou desequilíbrio da placa.</w:t>
      </w:r>
    </w:p>
    <w:p w14:paraId="0A7B434D" w14:textId="77777777" w:rsidR="001C7955" w:rsidRPr="001C7955" w:rsidRDefault="001C7955" w:rsidP="001C7955">
      <w:pPr>
        <w:spacing w:line="360" w:lineRule="auto"/>
        <w:ind w:left="720"/>
        <w:jc w:val="both"/>
        <w:rPr>
          <w:rFonts w:ascii="Geomanist" w:hAnsi="Geomanist"/>
          <w:sz w:val="24"/>
          <w:szCs w:val="22"/>
        </w:rPr>
      </w:pPr>
    </w:p>
    <w:p w14:paraId="6775F8E7" w14:textId="400DFE8C" w:rsidR="00AD646A" w:rsidRPr="001C7955" w:rsidRDefault="00AD646A" w:rsidP="00E6718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b/>
          <w:bCs/>
          <w:sz w:val="24"/>
          <w:szCs w:val="22"/>
        </w:rPr>
        <w:t>Referente ao posicionamento da placa:</w:t>
      </w:r>
    </w:p>
    <w:p w14:paraId="33DAA7F6" w14:textId="77777777" w:rsidR="00AD646A" w:rsidRPr="001C7955" w:rsidRDefault="00AD646A" w:rsidP="00E67183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Geomanist" w:hAnsi="Geomanist"/>
          <w:sz w:val="24"/>
          <w:szCs w:val="22"/>
        </w:rPr>
      </w:pPr>
      <w:r w:rsidRPr="001C7955">
        <w:rPr>
          <w:rFonts w:ascii="Geomanist" w:hAnsi="Geomanist"/>
          <w:sz w:val="24"/>
          <w:szCs w:val="22"/>
        </w:rPr>
        <w:t>Deve estar em local de destaque, visível e próximo à obra.</w:t>
      </w:r>
    </w:p>
    <w:p w14:paraId="666A4D60" w14:textId="736BC11E" w:rsidR="00AD646A" w:rsidRDefault="00AD646A" w:rsidP="00E67183">
      <w:pPr>
        <w:spacing w:line="360" w:lineRule="auto"/>
        <w:ind w:firstLine="1440"/>
        <w:jc w:val="both"/>
        <w:rPr>
          <w:rFonts w:ascii="Geomanist" w:hAnsi="Geomanist"/>
          <w:sz w:val="24"/>
          <w:szCs w:val="22"/>
        </w:rPr>
      </w:pPr>
    </w:p>
    <w:p w14:paraId="07DC9EA7" w14:textId="77777777" w:rsidR="00AB342A" w:rsidRPr="001C7955" w:rsidRDefault="00AB342A" w:rsidP="00E67183">
      <w:pPr>
        <w:spacing w:line="360" w:lineRule="auto"/>
        <w:ind w:firstLine="1440"/>
        <w:jc w:val="both"/>
        <w:rPr>
          <w:rFonts w:ascii="Geomanist" w:hAnsi="Geomanist"/>
          <w:sz w:val="24"/>
          <w:szCs w:val="22"/>
        </w:rPr>
      </w:pPr>
    </w:p>
    <w:p w14:paraId="37C2C906" w14:textId="193D2939" w:rsidR="00EB64A8" w:rsidRPr="001C7955" w:rsidRDefault="00AD646A" w:rsidP="001C7955">
      <w:pPr>
        <w:spacing w:line="360" w:lineRule="auto"/>
        <w:jc w:val="center"/>
        <w:rPr>
          <w:rFonts w:ascii="Geomanist" w:hAnsi="Geomanist"/>
        </w:rPr>
      </w:pPr>
      <w:r w:rsidRPr="001C7955">
        <w:rPr>
          <w:rFonts w:ascii="Geomanist" w:hAnsi="Geomanist"/>
          <w:sz w:val="24"/>
          <w:szCs w:val="22"/>
        </w:rPr>
        <w:t>Atenciosamente,</w:t>
      </w:r>
    </w:p>
    <w:sectPr w:rsidR="00EB64A8" w:rsidRPr="001C7955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69B1" w14:textId="77777777" w:rsidR="001C23E8" w:rsidRDefault="001C23E8" w:rsidP="00A811CC">
      <w:r>
        <w:separator/>
      </w:r>
    </w:p>
  </w:endnote>
  <w:endnote w:type="continuationSeparator" w:id="0">
    <w:p w14:paraId="7CFFBCAE" w14:textId="77777777" w:rsidR="001C23E8" w:rsidRDefault="001C23E8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71" w14:textId="3675CD82" w:rsidR="00A811CC" w:rsidRPr="00A811CC" w:rsidRDefault="000438C0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30C545E1">
              <wp:simplePos x="0" y="0"/>
              <wp:positionH relativeFrom="margin">
                <wp:posOffset>-739140</wp:posOffset>
              </wp:positionH>
              <wp:positionV relativeFrom="paragraph">
                <wp:posOffset>226060</wp:posOffset>
              </wp:positionV>
              <wp:extent cx="2745105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510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6B9AB" w14:textId="77777777"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12ED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58.2pt;margin-top:17.8pt;width:216.1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" filled="f" stroked="f" strokeweight=".5pt">
              <v:textbox>
                <w:txbxContent>
                  <w:p w14:paraId="3656B9AB" w14:textId="77777777"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9F4D2B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6059B4E3">
              <wp:simplePos x="0" y="0"/>
              <wp:positionH relativeFrom="margin">
                <wp:align>center</wp:align>
              </wp:positionH>
              <wp:positionV relativeFrom="paragraph">
                <wp:posOffset>201390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4D5A5" w14:textId="77777777"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87AEF" id="Caixa de texto 2" o:spid="_x0000_s1027" type="#_x0000_t202" style="position:absolute;margin-left:0;margin-top:15.85pt;width:113.25pt;height:7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" filled="f" stroked="f" strokeweight=".5pt">
              <v:textbox>
                <w:txbxContent>
                  <w:p w14:paraId="4B94D5A5" w14:textId="77777777"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0F333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E3C2" w14:textId="77777777" w:rsidR="001C23E8" w:rsidRDefault="001C23E8" w:rsidP="00A811CC">
      <w:r>
        <w:separator/>
      </w:r>
    </w:p>
  </w:footnote>
  <w:footnote w:type="continuationSeparator" w:id="0">
    <w:p w14:paraId="3526B42C" w14:textId="77777777" w:rsidR="001C23E8" w:rsidRDefault="001C23E8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FD32" w14:textId="72C067CD"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6C556C" wp14:editId="120AD373">
          <wp:extent cx="2779201" cy="993775"/>
          <wp:effectExtent l="0" t="0" r="2540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348" cy="99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DE0"/>
    <w:multiLevelType w:val="hybridMultilevel"/>
    <w:tmpl w:val="39DAB1DE"/>
    <w:lvl w:ilvl="0" w:tplc="FF96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22442">
      <w:start w:val="18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C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2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A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C35149"/>
    <w:multiLevelType w:val="hybridMultilevel"/>
    <w:tmpl w:val="7EEE023A"/>
    <w:lvl w:ilvl="0" w:tplc="7A62A7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4753C"/>
    <w:multiLevelType w:val="hybridMultilevel"/>
    <w:tmpl w:val="BA921626"/>
    <w:lvl w:ilvl="0" w:tplc="123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4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CC"/>
    <w:rsid w:val="00033734"/>
    <w:rsid w:val="000438C0"/>
    <w:rsid w:val="00047A6A"/>
    <w:rsid w:val="000562E3"/>
    <w:rsid w:val="00074EFE"/>
    <w:rsid w:val="0009283D"/>
    <w:rsid w:val="000D433C"/>
    <w:rsid w:val="000E2302"/>
    <w:rsid w:val="000E26F6"/>
    <w:rsid w:val="000F1D92"/>
    <w:rsid w:val="0010007B"/>
    <w:rsid w:val="00102561"/>
    <w:rsid w:val="00117F50"/>
    <w:rsid w:val="00135F1B"/>
    <w:rsid w:val="001369D2"/>
    <w:rsid w:val="0014560E"/>
    <w:rsid w:val="00152E4E"/>
    <w:rsid w:val="001638DE"/>
    <w:rsid w:val="00182E25"/>
    <w:rsid w:val="001A77B1"/>
    <w:rsid w:val="001C23E8"/>
    <w:rsid w:val="001C3DF6"/>
    <w:rsid w:val="001C7955"/>
    <w:rsid w:val="0021126E"/>
    <w:rsid w:val="00231415"/>
    <w:rsid w:val="00237A21"/>
    <w:rsid w:val="00271723"/>
    <w:rsid w:val="002845B2"/>
    <w:rsid w:val="002C3934"/>
    <w:rsid w:val="002C4ED4"/>
    <w:rsid w:val="002F4C5C"/>
    <w:rsid w:val="00311A20"/>
    <w:rsid w:val="00330F63"/>
    <w:rsid w:val="0033395F"/>
    <w:rsid w:val="00356DEF"/>
    <w:rsid w:val="0036755D"/>
    <w:rsid w:val="003732D5"/>
    <w:rsid w:val="00376448"/>
    <w:rsid w:val="003D5341"/>
    <w:rsid w:val="003E1537"/>
    <w:rsid w:val="003E2CF8"/>
    <w:rsid w:val="003E5300"/>
    <w:rsid w:val="003F1C5A"/>
    <w:rsid w:val="00400EA6"/>
    <w:rsid w:val="00415502"/>
    <w:rsid w:val="00440A94"/>
    <w:rsid w:val="004768F2"/>
    <w:rsid w:val="004966F0"/>
    <w:rsid w:val="004C05F3"/>
    <w:rsid w:val="004C7183"/>
    <w:rsid w:val="004F65B2"/>
    <w:rsid w:val="00506765"/>
    <w:rsid w:val="0053532C"/>
    <w:rsid w:val="005546E5"/>
    <w:rsid w:val="005777A7"/>
    <w:rsid w:val="005B0A95"/>
    <w:rsid w:val="005B2603"/>
    <w:rsid w:val="005D7D47"/>
    <w:rsid w:val="0060020E"/>
    <w:rsid w:val="00626FB9"/>
    <w:rsid w:val="006428E0"/>
    <w:rsid w:val="0066721E"/>
    <w:rsid w:val="00671083"/>
    <w:rsid w:val="006B6A19"/>
    <w:rsid w:val="006C2732"/>
    <w:rsid w:val="006C3B3D"/>
    <w:rsid w:val="006E2F05"/>
    <w:rsid w:val="0071788A"/>
    <w:rsid w:val="0072313C"/>
    <w:rsid w:val="00727526"/>
    <w:rsid w:val="007411BA"/>
    <w:rsid w:val="007417FA"/>
    <w:rsid w:val="00745D16"/>
    <w:rsid w:val="0075746D"/>
    <w:rsid w:val="00781235"/>
    <w:rsid w:val="007952B7"/>
    <w:rsid w:val="007D1BA5"/>
    <w:rsid w:val="007D7370"/>
    <w:rsid w:val="00835EEC"/>
    <w:rsid w:val="008374F5"/>
    <w:rsid w:val="00841DE8"/>
    <w:rsid w:val="00850C6B"/>
    <w:rsid w:val="00854135"/>
    <w:rsid w:val="00856504"/>
    <w:rsid w:val="00860538"/>
    <w:rsid w:val="008709E4"/>
    <w:rsid w:val="00895CCC"/>
    <w:rsid w:val="008A5E91"/>
    <w:rsid w:val="008C6D89"/>
    <w:rsid w:val="00917D51"/>
    <w:rsid w:val="00920973"/>
    <w:rsid w:val="009528A5"/>
    <w:rsid w:val="009A0889"/>
    <w:rsid w:val="009C5BFF"/>
    <w:rsid w:val="009F4D2B"/>
    <w:rsid w:val="00A308B9"/>
    <w:rsid w:val="00A34ADD"/>
    <w:rsid w:val="00A47112"/>
    <w:rsid w:val="00A572F1"/>
    <w:rsid w:val="00A63FA4"/>
    <w:rsid w:val="00A811CC"/>
    <w:rsid w:val="00A82FDC"/>
    <w:rsid w:val="00AB342A"/>
    <w:rsid w:val="00AB6CC9"/>
    <w:rsid w:val="00AD646A"/>
    <w:rsid w:val="00B11ADA"/>
    <w:rsid w:val="00B25A96"/>
    <w:rsid w:val="00B45763"/>
    <w:rsid w:val="00BA73A4"/>
    <w:rsid w:val="00BC1811"/>
    <w:rsid w:val="00BE19C0"/>
    <w:rsid w:val="00BF0DA6"/>
    <w:rsid w:val="00C32DDA"/>
    <w:rsid w:val="00C34FF3"/>
    <w:rsid w:val="00C35DA7"/>
    <w:rsid w:val="00C52AAC"/>
    <w:rsid w:val="00C642D4"/>
    <w:rsid w:val="00C86ED0"/>
    <w:rsid w:val="00CA12B1"/>
    <w:rsid w:val="00CB044D"/>
    <w:rsid w:val="00CD579B"/>
    <w:rsid w:val="00D31332"/>
    <w:rsid w:val="00D93E2D"/>
    <w:rsid w:val="00DA37D6"/>
    <w:rsid w:val="00DA5D60"/>
    <w:rsid w:val="00DB0755"/>
    <w:rsid w:val="00DC4BFB"/>
    <w:rsid w:val="00DC560E"/>
    <w:rsid w:val="00DF4D56"/>
    <w:rsid w:val="00E23CD8"/>
    <w:rsid w:val="00E556F4"/>
    <w:rsid w:val="00E62604"/>
    <w:rsid w:val="00E67183"/>
    <w:rsid w:val="00E744F2"/>
    <w:rsid w:val="00E83096"/>
    <w:rsid w:val="00EA61AB"/>
    <w:rsid w:val="00EB2F7C"/>
    <w:rsid w:val="00EB64A8"/>
    <w:rsid w:val="00ED5C65"/>
    <w:rsid w:val="00EE0711"/>
    <w:rsid w:val="00F1647C"/>
    <w:rsid w:val="00F36282"/>
    <w:rsid w:val="00F453D1"/>
    <w:rsid w:val="00F533B8"/>
    <w:rsid w:val="00F5580C"/>
    <w:rsid w:val="00F6366C"/>
    <w:rsid w:val="00F73A37"/>
    <w:rsid w:val="00F73BE3"/>
    <w:rsid w:val="00F86619"/>
    <w:rsid w:val="00FB66B8"/>
    <w:rsid w:val="00FD1F39"/>
    <w:rsid w:val="00FF4C86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202B5F4F-C2E5-48B4-8130-382BB26A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438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647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04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6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4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F7ED-B748-485E-AED0-AD104B40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Clara Mota Wolff</cp:lastModifiedBy>
  <cp:revision>13</cp:revision>
  <cp:lastPrinted>2019-07-01T20:06:00Z</cp:lastPrinted>
  <dcterms:created xsi:type="dcterms:W3CDTF">2019-07-01T19:27:00Z</dcterms:created>
  <dcterms:modified xsi:type="dcterms:W3CDTF">2021-09-15T19:19:00Z</dcterms:modified>
</cp:coreProperties>
</file>